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20" w:rsidRDefault="009F25A4" w:rsidP="009F25A4">
      <w:pPr>
        <w:shd w:val="clear" w:color="auto" w:fill="FFFFFF"/>
        <w:spacing w:before="30" w:after="375" w:line="450" w:lineRule="atLeast"/>
        <w:outlineLvl w:val="0"/>
        <w:rPr>
          <w:rFonts w:ascii="Arial" w:eastAsia="Times New Roman" w:hAnsi="Arial" w:cs="Arial"/>
          <w:color w:val="1A7667"/>
          <w:kern w:val="36"/>
          <w:sz w:val="30"/>
          <w:szCs w:val="30"/>
          <w:lang w:eastAsia="ru-RU"/>
        </w:rPr>
      </w:pPr>
      <w:r w:rsidRPr="009F25A4">
        <w:rPr>
          <w:rFonts w:ascii="Arial" w:eastAsia="Times New Roman" w:hAnsi="Arial" w:cs="Arial"/>
          <w:color w:val="1A7667"/>
          <w:kern w:val="36"/>
          <w:sz w:val="30"/>
          <w:szCs w:val="30"/>
          <w:lang w:eastAsia="ru-RU"/>
        </w:rPr>
        <w:t>Приказ Министерства здравоохранения РФ от 21 марта 2014 г. N 125н</w:t>
      </w:r>
    </w:p>
    <w:p w:rsidR="009F25A4" w:rsidRPr="009F25A4" w:rsidRDefault="009F25A4" w:rsidP="009F25A4">
      <w:pPr>
        <w:shd w:val="clear" w:color="auto" w:fill="FFFFFF"/>
        <w:spacing w:before="30" w:after="375" w:line="450" w:lineRule="atLeast"/>
        <w:outlineLvl w:val="0"/>
        <w:rPr>
          <w:rFonts w:ascii="Arial" w:eastAsia="Times New Roman" w:hAnsi="Arial" w:cs="Arial"/>
          <w:color w:val="1A7667"/>
          <w:kern w:val="36"/>
          <w:sz w:val="45"/>
          <w:szCs w:val="45"/>
          <w:lang w:eastAsia="ru-RU"/>
        </w:rPr>
      </w:pPr>
      <w:bookmarkStart w:id="0" w:name="_GoBack"/>
      <w:bookmarkEnd w:id="0"/>
      <w:r w:rsidRPr="009F25A4">
        <w:rPr>
          <w:rFonts w:ascii="Arial" w:eastAsia="Times New Roman" w:hAnsi="Arial" w:cs="Arial"/>
          <w:color w:val="1A7667"/>
          <w:kern w:val="36"/>
          <w:sz w:val="45"/>
          <w:szCs w:val="45"/>
          <w:lang w:eastAsia="ru-RU"/>
        </w:rPr>
        <w:t>Национальный календарь профилактических прививок РФ и календарь профилактических прививок по эпидемическим показаниям</w:t>
      </w:r>
    </w:p>
    <w:p w:rsidR="009F25A4" w:rsidRPr="009F25A4" w:rsidRDefault="009F25A4" w:rsidP="009F25A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A7879"/>
          <w:sz w:val="17"/>
          <w:szCs w:val="17"/>
          <w:lang w:eastAsia="ru-RU"/>
        </w:rPr>
      </w:pPr>
      <w:r w:rsidRPr="009F25A4">
        <w:rPr>
          <w:rFonts w:ascii="Arial" w:eastAsia="Times New Roman" w:hAnsi="Arial" w:cs="Arial"/>
          <w:color w:val="7A7879"/>
          <w:sz w:val="17"/>
          <w:szCs w:val="17"/>
          <w:lang w:eastAsia="ru-RU"/>
        </w:rPr>
        <w:t>11 сентября 2014 года, рубрика "Приказы"</w:t>
      </w:r>
    </w:p>
    <w:p w:rsidR="009F25A4" w:rsidRPr="009F25A4" w:rsidRDefault="009F25A4" w:rsidP="009F25A4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Зарегистрировано в Минюсте России 25 апреля 2014 г. N 32115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В соответствии со статьями 9 и 10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</w:t>
      </w: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2007, N 43, ст. 5084; N 49, ст. 6070; 2008, N 30, ст. 3616; N 52, ст. 6236; 2009, N 1, ст. 21; N 30, ст. 3739; 2010, N 50, ст. 6599; 2011, N 30, ст. 4590; 2012, N 53, ст. 7589; 2013, N 19, ст. 2331; N 27, ст. 3477;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</w:t>
      </w: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N 48, ст. 6165; N 51, ст. 6688) приказываю:</w:t>
      </w:r>
      <w:proofErr w:type="gramEnd"/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Утвердить: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национальный календарь профилактических прививок согласно приложению N 1;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календарь профилактических прививок по эпидемическим показаниям согласно приложению N 2.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Министр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В.И.СКВОРЦОВА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" w:name="Par25"/>
      <w:bookmarkEnd w:id="1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Приложение N 1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2" w:name="Par30"/>
      <w:bookmarkEnd w:id="2"/>
      <w:r w:rsidRPr="009F25A4">
        <w:rPr>
          <w:rFonts w:ascii="Times New Roman" w:eastAsia="Times New Roman" w:hAnsi="Times New Roman" w:cs="Times New Roman"/>
          <w:b/>
          <w:bCs/>
          <w:color w:val="0A0707"/>
          <w:sz w:val="24"/>
          <w:szCs w:val="24"/>
          <w:lang w:eastAsia="ru-RU"/>
        </w:rPr>
        <w:t>НАЦИОНАЛЬНЫЙ КАЛЕНДАРЬ ПРОФИЛАКТИЧЕСКИХ ПРИВИВОК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tbl>
      <w:tblPr>
        <w:tblW w:w="10350" w:type="dxa"/>
        <w:tblInd w:w="75" w:type="dxa"/>
        <w:tblBorders>
          <w:top w:val="single" w:sz="6" w:space="0" w:color="B6B4B5"/>
          <w:right w:val="single" w:sz="6" w:space="0" w:color="B6B4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947"/>
      </w:tblGrid>
      <w:tr w:rsidR="009F25A4" w:rsidRPr="009F25A4" w:rsidTr="009F25A4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Новорожденные </w:t>
            </w: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часа жизни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вирусного гепатита B &lt;1&gt;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на 3 - 7 день жизни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туберкулеза &lt;2&gt;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месяц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вирусного гепатита B &lt;1&gt;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месяца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B (группы риска) &lt;3&gt;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пневмококковой инфекции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3 месяца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полиомиелита &lt;4&gt;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гемофильной инфекции (группы риска) &lt;5&gt;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4,5 месяцев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гемофильной инфекции (группы риска) &lt;5&gt;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полиомиелита &lt;4&gt;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пневмококковой инфекции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месяцев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B &lt;1&gt;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полиомиелита &lt;6&gt;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гемофильной инфекции (группа риска) &lt;5&gt;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12 месяцев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вакцинация против вирусного гепатита B (группы риска) &lt;3&gt;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15 месяцев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пневмококковой инфекции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18 месяцев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полиомиелита &lt;6&gt;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гемофильной инфекции (группы риска)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20 месяцев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ревакцинация против полиомиелита &lt;6&gt;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ревакцинация против дифтерии, столбняка &lt;7&gt;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туберкулеза &lt;8&gt;</w:t>
            </w:r>
          </w:p>
        </w:tc>
      </w:tr>
      <w:tr w:rsidR="009F25A4" w:rsidRPr="009F25A4" w:rsidTr="009F25A4"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14 лет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дифтерии, столбняка &lt;7&gt;</w:t>
            </w:r>
          </w:p>
        </w:tc>
      </w:tr>
      <w:tr w:rsidR="009F25A4" w:rsidRPr="009F25A4" w:rsidTr="009F25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полиомиелита &lt;6&gt;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от 18 лет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18 лет, взрослые от 18 до 55 лет, не привитые ранее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вирусного гепатита B &lt;9&gt;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краснухи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 &lt;10&gt;</w:t>
            </w:r>
          </w:p>
        </w:tc>
      </w:tr>
      <w:tr w:rsidR="009F25A4" w:rsidRPr="009F25A4" w:rsidTr="009F25A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взрослые, работающие по отдельным профессиям и должностям (работники медицинских и образовательных организаций, </w:t>
            </w: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транспорта, коммунальной сферы); беременные женщины; взрослые старше 60 лет; лица, подлежащие призыву на военную службу;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с хроническими заболеваниями, в том числе с заболеваниями легких, </w:t>
            </w: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заболеваниями, метаболическими нарушениями и ожирением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Вакцинация против гриппа</w:t>
            </w:r>
          </w:p>
        </w:tc>
      </w:tr>
    </w:tbl>
    <w:p w:rsidR="009F25A4" w:rsidRPr="009F25A4" w:rsidRDefault="009F25A4" w:rsidP="009F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A4">
        <w:rPr>
          <w:rFonts w:ascii="Arial" w:eastAsia="Times New Roman" w:hAnsi="Arial" w:cs="Arial"/>
          <w:color w:val="0A0707"/>
          <w:shd w:val="clear" w:color="auto" w:fill="FFFFFF"/>
          <w:lang w:eastAsia="ru-RU"/>
        </w:rPr>
        <w:lastRenderedPageBreak/>
        <w:br/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3" w:name="Par90"/>
      <w:bookmarkEnd w:id="3"/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прививки, 2 доза - через 2 месяца от начала вакцинации, 3 доза - через 12 месяцев от начала вакцинации).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4" w:name="Par91"/>
      <w:bookmarkEnd w:id="4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5" w:name="Par92"/>
      <w:bookmarkEnd w:id="5"/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&lt;3&gt; Вакцинация проводится детям, относящимся к группам риска (родившимся от матерей - носителей </w:t>
      </w:r>
      <w:proofErr w:type="spell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HBsAg</w:t>
      </w:r>
      <w:proofErr w:type="spell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HBsAg</w:t>
      </w:r>
      <w:proofErr w:type="spell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или больной острым вирусным гепатитом B и хроническими вирусными гепатитами).</w:t>
      </w:r>
      <w:proofErr w:type="gramEnd"/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6" w:name="Par93"/>
      <w:bookmarkEnd w:id="6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&lt;4&gt; Первая и вторая вакцинации проводятся вакциной для профилактики полиомиелита (инактивированной).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7" w:name="Par94"/>
      <w:bookmarkEnd w:id="7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&lt;5&gt; Вакцинация проводится детям, относящимся к группам риска (с </w:t>
      </w:r>
      <w:proofErr w:type="spell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иммунодефицитными</w:t>
      </w:r>
      <w:proofErr w:type="spell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 с </w:t>
      </w:r>
      <w:proofErr w:type="spell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онкогематологическими</w:t>
      </w:r>
      <w:proofErr w:type="spell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заболеваниями и/или длительно получающим </w:t>
      </w:r>
      <w:proofErr w:type="spell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иммуносупрессивную</w:t>
      </w:r>
      <w:proofErr w:type="spell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терапию; детям, рожденным от матерей с ВИЧ-инфекцией; детям с ВИЧ-инфекцией; детям, находящимся в домах ребенка).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8" w:name="Par95"/>
      <w:bookmarkEnd w:id="8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&lt;6&gt;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вакциной для профилактики полиомиелита (инактивированной).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9" w:name="Par96"/>
      <w:bookmarkEnd w:id="9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&lt;7&gt; Вторая ревакцинация проводится анатоксинами с уменьшенным содержанием антигенов.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0" w:name="Par97"/>
      <w:bookmarkEnd w:id="10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&lt;8&gt; Ревакцинация проводится вакциной для профилактики туберкулеза (БЦЖ).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1" w:name="Par98"/>
      <w:bookmarkEnd w:id="11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2" w:name="Par99"/>
      <w:bookmarkEnd w:id="12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&lt;10&gt; Интервал между первой и второй прививками должен составлять не менее 3 месяцев.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3" w:name="Par101"/>
      <w:bookmarkEnd w:id="13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lastRenderedPageBreak/>
        <w:t>Порядок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проведения гражданам профилактических прививок в рамках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национального календаря профилактических прививок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1.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2. Вакцинацию осуществляют медицинские работники, прошедшие </w:t>
      </w: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обучение по вопросам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3.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4. </w:t>
      </w: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323-ФЗ "Об основах охраны здоровья граждан в Российской Федерации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" &lt;1&gt;.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--------------------------------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&lt;1&gt; Собрание законодательства Российской Федерации, 2012, N 26, ст. 3442; N 26, ст. 3446; 2013, N 27, ст. 3459; N 27, ст. 3477; N 30, ст. 4038; N 39, ст. 4883; N 48, ст. 6165; N 52, ст. 6951.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--------------------------------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6.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7. Вакцинация детей, которым иммунопрофилактика против пневмококковой инфекции не была начата </w:t>
      </w: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в первые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6 месяцев жизни, проводится двукратно с интервалом между прививками не менее 2 месяцев.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lastRenderedPageBreak/>
        <w:t>8. 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9. Ревакцинация детей против туберкулеза, рожденных от матерей с ВИЧ-инфекцией и получавших </w:t>
      </w:r>
      <w:proofErr w:type="gram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трехэтапную</w:t>
      </w:r>
      <w:proofErr w:type="gram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</w:t>
      </w:r>
      <w:proofErr w:type="spellStart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химиопрофилактику</w:t>
      </w:r>
      <w:proofErr w:type="spellEnd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10. 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11. 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12. Анатоксины, убитые и рекомбинантные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13.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14. При проведении вакцинации против гепатита B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4" w:name="Par130"/>
      <w:bookmarkEnd w:id="14"/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Приложение N 2</w:t>
      </w:r>
    </w:p>
    <w:p w:rsidR="009F25A4" w:rsidRPr="009F25A4" w:rsidRDefault="009F25A4" w:rsidP="009F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A4">
        <w:rPr>
          <w:rFonts w:ascii="Arial" w:eastAsia="Times New Roman" w:hAnsi="Arial" w:cs="Arial"/>
          <w:color w:val="0A0707"/>
          <w:shd w:val="clear" w:color="auto" w:fill="FFFFFF"/>
          <w:lang w:eastAsia="ru-RU"/>
        </w:rPr>
        <w:br/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bookmarkStart w:id="15" w:name="Par135"/>
      <w:bookmarkEnd w:id="15"/>
      <w:r w:rsidRPr="009F25A4">
        <w:rPr>
          <w:rFonts w:ascii="Times New Roman" w:eastAsia="Times New Roman" w:hAnsi="Times New Roman" w:cs="Times New Roman"/>
          <w:b/>
          <w:bCs/>
          <w:color w:val="0A0707"/>
          <w:sz w:val="24"/>
          <w:szCs w:val="24"/>
          <w:lang w:eastAsia="ru-RU"/>
        </w:rPr>
        <w:t>КАЛЕНДАРЬ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b/>
          <w:bCs/>
          <w:color w:val="0A0707"/>
          <w:sz w:val="24"/>
          <w:szCs w:val="24"/>
          <w:lang w:eastAsia="ru-RU"/>
        </w:rPr>
        <w:t>ПРОФИЛАКТИЧЕСКИХ ПРИВИВОК ПО ЭПИДЕМИЧЕСКИМ ПОКАЗАНИЯМ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</w:pPr>
      <w:r w:rsidRPr="009F25A4">
        <w:rPr>
          <w:rFonts w:ascii="Times New Roman" w:eastAsia="Times New Roman" w:hAnsi="Times New Roman" w:cs="Times New Roman"/>
          <w:color w:val="0A0707"/>
          <w:sz w:val="24"/>
          <w:szCs w:val="24"/>
          <w:lang w:eastAsia="ru-RU"/>
        </w:rPr>
        <w:t> </w:t>
      </w:r>
    </w:p>
    <w:tbl>
      <w:tblPr>
        <w:tblW w:w="10635" w:type="dxa"/>
        <w:tblInd w:w="-776" w:type="dxa"/>
        <w:tblBorders>
          <w:top w:val="single" w:sz="6" w:space="0" w:color="B6B4B5"/>
          <w:right w:val="single" w:sz="6" w:space="0" w:color="B6B4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7089"/>
      </w:tblGrid>
      <w:tr w:rsidR="009F25A4" w:rsidRPr="009F25A4" w:rsidTr="009F25A4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граждан, подлежащих обязательной вакцинации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туляремии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proofErr w:type="gramEnd"/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дезинсекционные;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туляремии.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чумы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проживающие на энзоотичных по чуме территориях.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работающие с живыми культурами возбудителя чумы.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бруцеллеза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очагах козье-овечьего типа бруцеллеза лица, выполняющие следующие работы: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убою скота, больного бруцеллезом, заготовке и переработке полученных от него мяса и мясопродуктов.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Животноводы, ветеринарные работники, зоотехники в хозяйствах, энзоотичных по бруцеллезу.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бруцеллеза.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сибирской язвы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зооветработники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лица, профессионально занятые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предубойным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 скота, а также убоем, снятием шкур и разделкой туш;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бешенства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профилактической целью вакцинируют лиц, имеющих высокий риск заражения бешенством: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"уличным" вирусом бешенства;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ветеринарные работники; егеря, охотники, лесники;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выполняющие работы по отлову и содержанию животных.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лептоспироза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отлову и содержанию безнадзорных животных.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лептоспироза.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клещевого вирусного энцефалита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дезинсекционные;</w:t>
            </w:r>
            <w:proofErr w:type="gramEnd"/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лихорадки Ку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выполняющие работы по заготовке, хранению, обработке </w:t>
            </w: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сырья и продуктов животноводства, полученных из хозяйств, где регистрируются заболевания лихорадкой Ку.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возбудителей лихорадки Ку.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желтой лихорадки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желтой лихорадки.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холеры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выезжающие в неблагополучные по холере страны (регионы).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брюшного тифа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возбудителей брюшного тифа.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выезжающие в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гиперэндемичные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брюшному тифу страны (регионы).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 в очагах брюшного тифа по эпидемическим показаниям.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вирусного гепатита A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проживающие в регионах, неблагополучных по заболеваемости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шигеллезов</w:t>
            </w:r>
            <w:proofErr w:type="spellEnd"/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медицинских организаций (их структурных подразделений) инфекционного профиля.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шигеллезами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менингококковой инфекции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или C.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или C.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кори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вирусного гепатита B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дифтерии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эпидемического паротита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полиомиелита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 в очагах полиомиелита, в том числе вызванного </w:t>
            </w: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диким</w:t>
            </w:r>
            <w:proofErr w:type="gram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при подозрении на заболевание):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с 3 месяцев до 18 лет - однократно;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работники - однократно;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прибывшие из эндемичных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контактировавшие с </w:t>
            </w:r>
            <w:proofErr w:type="gram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прибывшими</w:t>
            </w:r>
            <w:proofErr w:type="gram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эндемичных (неблагополучных) по полиомиелиту стран (регионов), с 3 месяцев жизни без ограничения возраста - однократно;</w:t>
            </w:r>
          </w:p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работающие с живым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материалами, инфицированными (потенциально инфицированными) диким вирусом полиомиелита, без ограничения возраста - однократно при приеме на работу.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пневмококковой инфекции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2 до 5 лет, взрослые из групп риска, включая лиц, подлежащих призыву на военную службу.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для активной вакцинации с целью профилактики заболеваний, вызываемых </w:t>
            </w:r>
            <w:proofErr w:type="spellStart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ротавирусами</w:t>
            </w:r>
            <w:proofErr w:type="spellEnd"/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ветряной оспы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9F25A4" w:rsidRPr="009F25A4" w:rsidTr="009F25A4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гемофильной инфекции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25A4" w:rsidRPr="009F25A4" w:rsidRDefault="009F25A4" w:rsidP="009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не привитые на первом году жизни против гемофильной инфекции.</w:t>
            </w:r>
          </w:p>
        </w:tc>
      </w:tr>
    </w:tbl>
    <w:p w:rsidR="009F25A4" w:rsidRPr="009F25A4" w:rsidRDefault="009F25A4" w:rsidP="009F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A4">
        <w:rPr>
          <w:rFonts w:ascii="Arial" w:eastAsia="Times New Roman" w:hAnsi="Arial" w:cs="Arial"/>
          <w:color w:val="0A0707"/>
          <w:shd w:val="clear" w:color="auto" w:fill="FFFFFF"/>
          <w:lang w:eastAsia="ru-RU"/>
        </w:rPr>
        <w:br/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bookmarkStart w:id="16" w:name="Par232"/>
      <w:bookmarkEnd w:id="16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Порядок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проведения гражданам профилактических прививок в рамках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календаря профилактических прививок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по эпидемическим показаниям</w:t>
      </w:r>
    </w:p>
    <w:p w:rsidR="009F25A4" w:rsidRPr="009F25A4" w:rsidRDefault="009F25A4" w:rsidP="009F2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1.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2. Вакцинацию осуществляют медицинские работники, прошедшие </w:t>
      </w:r>
      <w:proofErr w:type="gram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обучение по вопросам</w:t>
      </w:r>
      <w:proofErr w:type="gramEnd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3.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4. </w:t>
      </w:r>
      <w:proofErr w:type="gram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323-ФЗ "Об основах охраны здоровья граждан в Российской Федерации</w:t>
      </w:r>
      <w:proofErr w:type="gramEnd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".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proofErr w:type="gram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--------------------------------</w:t>
      </w:r>
      <w:proofErr w:type="gramEnd"/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proofErr w:type="gram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 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6. 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9F25A4" w:rsidRPr="009F25A4" w:rsidRDefault="009F25A4" w:rsidP="009F25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7. Вакцинация против полиомиелита по эпидемическим показаниям проводится оральной полиомиелитной вакциной. Показаниями для проведения вакцинации детей оральной полиомиелитной вакциной по эпидемическим показаниям являются регистрация случая полиомиелита, вызванного диким </w:t>
      </w:r>
      <w:proofErr w:type="spell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полиовирусом</w:t>
      </w:r>
      <w:proofErr w:type="spellEnd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, выделение дикого </w:t>
      </w:r>
      <w:proofErr w:type="spell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полиовируса</w:t>
      </w:r>
      <w:proofErr w:type="spellEnd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 в </w:t>
      </w:r>
      <w:proofErr w:type="spellStart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биопробах</w:t>
      </w:r>
      <w:proofErr w:type="spellEnd"/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 xml:space="preserve"> человека или из объектов окружающей среды. В этих случаях вакцинация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9F25A4" w:rsidRPr="009F25A4" w:rsidRDefault="009F25A4" w:rsidP="009F25A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A0707"/>
          <w:sz w:val="20"/>
          <w:szCs w:val="20"/>
          <w:lang w:eastAsia="ru-RU"/>
        </w:rPr>
      </w:pPr>
      <w:r w:rsidRPr="009F25A4">
        <w:rPr>
          <w:rFonts w:ascii="Arial" w:eastAsia="Times New Roman" w:hAnsi="Arial" w:cs="Arial"/>
          <w:color w:val="0A0707"/>
          <w:sz w:val="20"/>
          <w:szCs w:val="20"/>
          <w:lang w:eastAsia="ru-RU"/>
        </w:rPr>
        <w:t> </w:t>
      </w:r>
    </w:p>
    <w:p w:rsidR="00A10230" w:rsidRDefault="00A10230"/>
    <w:sectPr w:rsidR="00A10230" w:rsidSect="009F25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4"/>
    <w:rsid w:val="00940220"/>
    <w:rsid w:val="009F25A4"/>
    <w:rsid w:val="00A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">
    <w:name w:val="small"/>
    <w:basedOn w:val="a0"/>
    <w:rsid w:val="009F25A4"/>
  </w:style>
  <w:style w:type="paragraph" w:customStyle="1" w:styleId="params3">
    <w:name w:val="params3"/>
    <w:basedOn w:val="a"/>
    <w:rsid w:val="009F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2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">
    <w:name w:val="small"/>
    <w:basedOn w:val="a0"/>
    <w:rsid w:val="009F25A4"/>
  </w:style>
  <w:style w:type="paragraph" w:customStyle="1" w:styleId="params3">
    <w:name w:val="params3"/>
    <w:basedOn w:val="a"/>
    <w:rsid w:val="009F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2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2015-05-13T07:20:00Z</dcterms:created>
  <dcterms:modified xsi:type="dcterms:W3CDTF">2015-05-13T07:25:00Z</dcterms:modified>
</cp:coreProperties>
</file>